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A" w:rsidRDefault="00E242BA">
      <w:pPr>
        <w:pStyle w:val="Estilo"/>
      </w:pPr>
      <w:r>
        <w:t>REGLAMENTO PARA REGULAR EL USO DE LOS BIENES MUEBLES DE L</w:t>
      </w:r>
      <w:r w:rsidR="000062C9">
        <w:t>A ADMINISTRACION PUBLICA</w:t>
      </w:r>
      <w:r w:rsidR="00F062CB">
        <w:t xml:space="preserve"> ESTATAL</w:t>
      </w:r>
      <w:bookmarkStart w:id="0" w:name="_GoBack"/>
      <w:bookmarkEnd w:id="0"/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TEXTO ORIGINAL.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Reglamento publicado en el Periódico Oficial del Estado de Oaxaca, el sábado 18 de noviembre de 1989.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HELADIO RAMIREZ LOPEZ, GOBERNADOR CONSTITUCIONAL DEL ESTADO LIBRE Y SOBERANO DE OAXACA, EN CUMPLIMIENTO A LAS OBLIGACIONES QUE ME IMPONEN LAS DISPOSICIONES DE LA FRACCIÓN DEL ARTICULO 80 DE LA CONSTITUCION POLITICA DEL ESTADO DE OAXACA, Y CON FUNDAMENTO EN EL ARTICULO 5 Y 27 DE LA LEY ORGANICA DEL PODER EJECUTIVO DEL ESTADO, Y ARTICULO VIGESIMO NOVENO Y TRIGESIMO DE LA LEY DE BIENES PERTENECIENTES AL ESTADO, HE TENIDO A BIEN APROBAR EL SIGUIENTE: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REGLAMENTO PARA REGULAR EL USO DE LOS BIENES MUEBLES DE LA ADMINISTRACION PUBLICA ESTATAL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I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DISPOSICIONES GENERALES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1.- El presente Reglamento tiene por objeto establecer las normas para el uso, administración, control y vigilancia de los bienes muebles de la Administración Pública Estatal.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2.- El cumplimiento de las disposiciones del presente Reglamento corresponde tanto a las Dependencias que conforman la Administración Central, como a las Entidades Paraestatales.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3.- La asignación, control y vigilancia de los bienes muebles le corresponde a la Secretaría de Administración a través de los Departamentos de Compras y Patrimonio e Inventarios, dependientes de la Dirección de Recursos Materiales, de acuerdo a los presupuestos aprobados.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4.- Para los efectos de este Reglamento se entiende por: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a).- Servidor Público.- Toda persona que desempeñe un empleo, cargo o comisión de cualquier naturaleza en la Administración Pública Estatal.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b).- Dependencia.- A las Secretarías de Estado, Procuraduría General de Justicia y Organismos Auxiliares del Poder Ejecutivo.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c).- Entidades.- A los Organismos Descentralizados y Fideicomisos creados por el Gobierno Estatal.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5.- Los bienes muebles al servicio de la Administración Pública y que se adquieren por: Recursos propios; transferencias de la Federación; donativos de particulares, forman parte de la Hacienda Pública del Estado.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6.- De acuerdo a su uso y destino los bienes muebles, para el efecto de inventario, se agrupan de la siguiente manera: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01 Armamentos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02 Objetos decorativos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03 Equipo para deportes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04 Material audiovisual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05 Equipo y accesorios de comunicación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06 Equipo de computación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07 Equipo contra incendio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08 Equipo de Ingeniería y Dibujo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09 Aparatos e Instrumentos científicos de Laboratorio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10 Vehículos y accesorios de transporte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11 Herramientas, Instrumental y útiles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12 Instrumentos musicales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13 Maquinaria y equipos en general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14 Material de impresión y copiado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15 Equipo e Instrumental clínico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16 Equipo para escuelas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17 Equipo de Oficina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18 Maquinaria pesada y accesorios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19 Utensilios de cocina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20 Equipo de iluminación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21 Equipo de minería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22 Acervo hemerográfico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23 Acervo bibliográfico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24 Documentos administrativos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25 Documentos históricos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26 Varios.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II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 LA ASIGNACIÓN DE BIENES A LAS DEPENDENCIAS Y ENTIDADES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7.- La asignación de los bienes muebles, a las Dependencias del Gobierno del Estado, se realizarán por la Secretaría de Administración a través del Departamento de Compras, con base en las normas establecidas por las Leyes vigentes, presupuesto autorizado y en el presente Reglamento.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8.- La asignación de los bienes muebles a las Entidades de la Administración Pública Estatal, se realizará: Por la Secretaría de Administración o por las adquisiciones que estas mismas realicen, pero siempre se observará lo dispuesto en las Leyes relativas y por lo dispuesto en el presente Reglamento.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9.- La Secretaría de Administración establecerá las normas y lineamientos para el uso y asignación de vehículos y equipo de transporte a los servidores públicos, atendiendo el rango de las funciones que desempeñen, naturaleza de las actividades inherentes al cargo y a la disponibilidad presupuestal.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10.- Los servidores públicos en ningún caso podrán disponer de recursos económicos de la Administración Pública Estatal, para adquirir bienes muebles con el objeto de obsequiarlos a terceras personas, tampoco podrán disponer de los bienes propiedad del Gobierno del Estado, que por funciones le correspondan administrar, para obsequiarlos, venderlos o prestar a otros servidores públicos.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lastRenderedPageBreak/>
        <w:t>CAPITULO III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DEL INVENTARIO Y CONTROL DE BIENES MUEBLES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11.- El Departamento de Patrimonio e Inventarios llevará a cabo el levantamiento del inventario de los bienes muebles de las Dependencias y Entidades, tan luego tenga conocimiento de la asignación o adquisición directa de las mismas.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12.- El titular de la Dependencia o Entidad, designará a un servidor público con conocimientos amplios sobre la situación que guardan los bienes muebles asignados, para el efecto de que proporcione la información requerida y acompañe al personal del Departamento de Patrimonio e Inventarios en el levantamiento del inventario o en la verificación del mismo.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13.- Durante el tiempo que se efectúe el levantamiento o verificación de los inventarios, los titulares de las Dependencias o Entidades, no podrán ordenar cambios en la ubicación que tengan los bienes muebles, con la finalidad de facilitar las labores del personal del Departamento de Patrimonio e Inventarios.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14.- Todos los bienes muebles, a excepción de los de consumo, serán incluidos en el inventario correspondiente.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15.- Inmediatamente después de haberse levantado el inventario o actualizado éste, el Departamento de Patrimonio e Inventarios, lo entregará debidamente requisitado al titular de la Dependencia o Entidad, recabando las firmas tanto del Titular de la Dependencia o Entidad, como del Director o responsable del área respectiva para acreditar la existencia y que revisaron los bienes muebles descritos en el inventario.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16.- Los Directores o responsables de áreas, harán la asignación de los bienes muebles recibidos al personal adscrito a su área, elaborando por cada uno de ellos el resguardo interno respectivo de los muebles recibidos.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17.- Cuando las Dependencias o Entidades reciban bienes muebles en fechas posteriores al último inventario practicado, independientemente de la forma de adquisición, deberán comunicarlo de inmediato al Departamento de Patrimonio e Inventarios, para los efectos de inventario correspondiente.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18.- Los Titulares de las Dependencias o Entidades, no podrán realizar cambios o traspasos de bienes muebles con otras Dependencias o Entidades; salvo que cuenten con la aprobación, por escrito, del Departamento de Patrimonio e Inventarios.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 xml:space="preserve">ARTICULO 19.- Cuando por alguna razón tenga que modificarse la estructura administrativa de la Administración Central y ésta implique supresión de alguna </w:t>
      </w:r>
      <w:r>
        <w:lastRenderedPageBreak/>
        <w:t>área, los bienes muebles quedarán a disposición de la Secretaría de Administración.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20.- Cuando se suprima una Entidad, los bienes muebles a su servicio, quedarán a disposición de la Secretaría de Administración, salvo disposición expresa en contrario.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IV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DEL USO Y CUIDADO DE LOS BIENES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21.- Los bienes muebles, serán destinados y puestos al servicio única y exclusivamente para el desempeño de actividades propias de la Administración Pública.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22.-Todos los servidores públicos que tengan a su disposición bienes muebles, le darán un uso adecuado, evitando causar daños o deterioro a los mismos.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23.- El uso de bienes muebles fuera de los recintos oficiales en las que se encuentra ubicada la Dependencia o Entidad, solo se podrán realizar cuando se trate de actividades de las encomendadas a la Dependencia o Entidades y mediante autorización por escrito del Titular.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24.- Cuando por reparación, mantenimiento o cualquier otro motivo, algún bien mueble salga de la Dependencia o Entidad, el servidor público que lo tenga asignado, deberá justificar los documentos probatorios de la salida.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25.- Ningún servidor público está facultado para dar a particulares en usufructo, comodato o donación, los bienes muebles que se le asignen para el desarrollo de sus actividades, a excepción de ordenamiento expreso y por escrito del C. Gobernador del Estado, en este caso el servidor público comunicará de inmediato al Departamento de Patrimonio e Inventarios.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V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 LOS VEHICULOS Y ACCESORIOS DE TRANSPORTE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26.- Los vehículos y accesorios de transporte, serán destinados exclusivamente para uso oficial.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 xml:space="preserve">ARTICULO 27.- Los vehículos sólo podrán ser conducidos por los servidores públicos que hayan firmado el resguardo correspondiente, quienes serán </w:t>
      </w:r>
      <w:r>
        <w:lastRenderedPageBreak/>
        <w:t>directamente responsables del uso que haga del mismo y cuidará de conservarlo en buen estado.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28.- Queda prohibido transportar en los vehículos a personas que no estén cumpliendo asuntos de carácter oficial, así como destinarlo a servicios particulares.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29.- Los servidores públicos con vehículos a su cargo, deberán conducir los mismos unicamente en los perímetros autorizados para los efectos del cumplimiento de la comisión que se les haya asignado.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30.- Los vehículos y accesorios de transporte, deberán guardarse en el lugar que cada Dependencia o Entidad determine una vez terminada la comisión o labores asignadas.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31.- Los conductores de vehículos del Gobierno del Estado, deberán de contar con licencia de conducir vigente, así como conocer y cumplir con las demás normas de tránsito de vehículos.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32.- Los conductores de vehículos, serán responsables de sus acciones u omisiones y a su cargo correrán los pagos de los daños causados por exponerlos a accidentes o choques, salvo que se demuestre que de su parte no hubo dolo o imprudencia.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33.- Cuando suceda un accidente o robo de un vehículo, tanto el servidor público resguardante como el titular de la Dependencia o Entidad, tienen la obligación de comunicarle de inmediato al Departamento de Patrimonio e Inventarios, independientemente de cualquier otro trámite legal que tenga que realizarse.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34.- La reparación y mantenimiento de los vehículos, es responsabilidad de la Secretaría de Administración, para poder cumplir con esta responsabilidad, las Dependencias comunicarán oportunamente a la Secretaría, sus necesidades de mantenimiento y refacciones a través de la Dirección de Servicios Generales, por lo que será ella quien específicamente debe ordenar y vigilar que éstas se realicen en la forma que mejor estime conveniente.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35.- Los combustibles para los vehículos serán surtidos a través de vales por los establecimientos que la Dirección de Servicios Generales establezca. A cada Dependencia se le fijará una cuota mensual de combustible con base al presupuesto asignado. Únicamente se dotará de combustible a vehículos oficiales.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VI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 LA BAJA DE BIENES MUEBLES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36.- Ningún bien mueble podrá ser dado de baja del inventario, si no es mediante autorización del Departamento de Patrimonio e Inventarios.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37.- Los bienes dados de baja se pondrán a disposición del Almacén No. 2 del Gobierno del Estado, para su reparación o remate, según proceda.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VII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 LAS RESPONSABILIDADES DE LOS SERVIDORES PUBLICOS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38.- Los titulares de las Dependencia o Entidades y los responsables de Áreas, serán solidariamente responsables ante el Ejecutivo del Estado, de los bienes muebles que tengan asignados a su cargo para el desarrollo de sus actividades.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39.- Cada servidor público será responsable ante el Director de área o Jefe Inmediato de los bienes muebles que directamente tengan a su disposición.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40.- Cuando se realicen cambios de titulares de Dependencias, Entidades o de Area, será responsabilidad del titular saliente y de la Unidad Administrativa, cuando exista, solicitar la intervención, de Patrimonio e Inventarios, con la finalidad de verificar la actualización del inventario correspondiente.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En todo acto de entrega a recepción deberá intervenir el Departamento de Patrimonio e Inventarios.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41.- En caso de que exista la presunción de extravío, pérdida o robo de algún bien mueble, el servidor público y que bajo resguardo se encuentre, deberá comunicarlo inmediatamente al titular del área que dependa, para proceder a levantar una acta circunstanciada de los hechos con la descripción del bien faltante, remitiéndola conjuntamente con el resguardo individual al Departamento de Patrimonio e Inventarios, para los fines correspondientes.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CAPITULO VIII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DE LAS INFRACCIONES Y SANCIONES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42.- La Comisión de hechos en el manejo de bienes muebles que constituyan delitos por parte de cualquier servidor público serán perseguidos y sancionados en los términos de la Legislación vigente.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 xml:space="preserve">ARTICULO 43.- Sin perjuicio de lo establecido en el artículo anterior, se aplicarán sanciones administrativas a los servidores públicos que por sus actos u omisiones, </w:t>
      </w:r>
      <w:r>
        <w:lastRenderedPageBreak/>
        <w:t>afecten, dañen, destruyan o pierdan bienes muebles propiedad del Estado de acuerdo a la Legislatura vigente.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44.- Corresponde a la Secretaría de Administración conocer, e investigar los hechos y establecer la sanción administrativa correspondiente, a través de sus áreas respectivas.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45.- Cuando la Secretaría de Administración detecte que el servidor público cometió un hecho u omisión considerada como delito, dará aviso de inmediato a la Procuraduría General de Justicia del Estado, para los fines consiguientes.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46.- Cuando un bien mueble es extraviado el servidor público que lo tenga bajo su resguardo, realizará lo siguiente: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a) Comunicar de inmediato al Titular del Área.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b) Se avocará a la localización del bien.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Si el bien es localizado, se presentará físicamente al titular del área; en caso de que en un plazo de 10 días de haber notado su extravío no apareciere, se tendrá como objeto perdido.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47.- Cuando un bien mueble tenga el carácter de objeto perdido, el Departamento de Patrimonio e Inventarios y de acuerdo con una cotización actualizada, determinará el valor del objeto perdido.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ARTICULO 48.- La Secretaría de Administración celebrará un convenio con el resguardante responsable de la pérdida, robo o extravío, para realizar los descuentos a sus percepciones con el fin de recuperar el valor del bien perdido.</w:t>
      </w:r>
    </w:p>
    <w:p w:rsidR="00DC652A" w:rsidRDefault="00DC652A">
      <w:pPr>
        <w:pStyle w:val="Estilo"/>
      </w:pPr>
    </w:p>
    <w:p w:rsidR="00DC652A" w:rsidRDefault="00DC652A">
      <w:pPr>
        <w:pStyle w:val="Estilo"/>
      </w:pPr>
    </w:p>
    <w:p w:rsidR="00DC652A" w:rsidRPr="00B543EE" w:rsidRDefault="00E242BA">
      <w:pPr>
        <w:pStyle w:val="Estilo"/>
        <w:rPr>
          <w:lang w:val="en-US"/>
        </w:rPr>
      </w:pPr>
      <w:r w:rsidRPr="00B543EE">
        <w:rPr>
          <w:lang w:val="en-US"/>
        </w:rPr>
        <w:t>T R A N S I T O R I O S</w:t>
      </w:r>
    </w:p>
    <w:p w:rsidR="00DC652A" w:rsidRPr="00B543EE" w:rsidRDefault="00DC652A">
      <w:pPr>
        <w:pStyle w:val="Estilo"/>
        <w:rPr>
          <w:lang w:val="en-US"/>
        </w:rPr>
      </w:pPr>
    </w:p>
    <w:p w:rsidR="00DC652A" w:rsidRDefault="00E242BA">
      <w:pPr>
        <w:pStyle w:val="Estilo"/>
      </w:pPr>
      <w:r>
        <w:t>PRIMERO.- El presente Reglamento entrará en vigor el día siguiente de su publicación en el Periódico Oficial del Gobierno del Estado.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SEGUNDO.- Se derogan todas las disposiciones de igual o menor jerarquía que se oponga al presente ordenamiento.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Por tanto, mando que se imprima, publique, circule y se le dé el debido cumplimiento.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t>Dado en el Palacio de Gobierno del Estado en la Ciudad de Oaxaca de Juárez, a 16 de Octubre de 1989.</w:t>
      </w:r>
    </w:p>
    <w:p w:rsidR="00DC652A" w:rsidRDefault="00DC652A">
      <w:pPr>
        <w:pStyle w:val="Estilo"/>
      </w:pPr>
    </w:p>
    <w:p w:rsidR="00DC652A" w:rsidRDefault="00E242BA">
      <w:pPr>
        <w:pStyle w:val="Estilo"/>
      </w:pPr>
      <w:r>
        <w:lastRenderedPageBreak/>
        <w:t>LIC. HELADIO RAMIREZ LOPEZ</w:t>
      </w:r>
    </w:p>
    <w:p w:rsidR="00DC652A" w:rsidRDefault="00DC652A">
      <w:pPr>
        <w:pStyle w:val="Estilo"/>
      </w:pPr>
    </w:p>
    <w:sectPr w:rsidR="00DC652A" w:rsidSect="009425A2">
      <w:footerReference w:type="defaul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89" w:rsidRDefault="003B0789" w:rsidP="006E4391">
      <w:pPr>
        <w:spacing w:after="0" w:line="240" w:lineRule="auto"/>
      </w:pPr>
      <w:r>
        <w:separator/>
      </w:r>
    </w:p>
  </w:endnote>
  <w:endnote w:type="continuationSeparator" w:id="0">
    <w:p w:rsidR="003B0789" w:rsidRDefault="003B0789" w:rsidP="006E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A9075C" w:rsidTr="00D61ABC">
      <w:tc>
        <w:tcPr>
          <w:tcW w:w="2500" w:type="pct"/>
        </w:tcPr>
        <w:p w:rsidR="00A9075C" w:rsidRDefault="003E086C" w:rsidP="00275FEE">
          <w:pPr>
            <w:pStyle w:val="Piedepgina"/>
          </w:pPr>
          <w:r>
            <w:fldChar w:fldCharType="begin"/>
          </w:r>
          <w:r w:rsidR="00A9075C">
            <w:instrText xml:space="preserve"> DATE  \@ "dd/MM/yyyy hh:mm am/pm"  \* MERGEFORMAT </w:instrText>
          </w:r>
          <w:r>
            <w:fldChar w:fldCharType="separate"/>
          </w:r>
          <w:r w:rsidR="00F062CB">
            <w:rPr>
              <w:noProof/>
            </w:rPr>
            <w:t>20/09/2019 09:23 a. m.</w:t>
          </w:r>
          <w:r>
            <w:fldChar w:fldCharType="end"/>
          </w:r>
        </w:p>
      </w:tc>
      <w:tc>
        <w:tcPr>
          <w:tcW w:w="2500" w:type="pct"/>
        </w:tcPr>
        <w:sdt>
          <w:sdtPr>
            <w:id w:val="8289949"/>
            <w:docPartObj>
              <w:docPartGallery w:val="Page Numbers (Bottom of Page)"/>
              <w:docPartUnique/>
            </w:docPartObj>
          </w:sdtPr>
          <w:sdtEndPr/>
          <w:sdtContent>
            <w:p w:rsidR="00A9075C" w:rsidRDefault="003E086C" w:rsidP="00275FEE">
              <w:pPr>
                <w:pStyle w:val="Piedepgina"/>
                <w:jc w:val="right"/>
              </w:pPr>
              <w:r>
                <w:fldChar w:fldCharType="begin"/>
              </w:r>
              <w:r w:rsidR="00A9075C">
                <w:instrText xml:space="preserve"> PAGE   \* MERGEFORMAT </w:instrText>
              </w:r>
              <w:r>
                <w:fldChar w:fldCharType="separate"/>
              </w:r>
              <w:r w:rsidR="00F062CB">
                <w:rPr>
                  <w:noProof/>
                </w:rPr>
                <w:t>9</w:t>
              </w:r>
              <w:r>
                <w:fldChar w:fldCharType="end"/>
              </w:r>
            </w:p>
          </w:sdtContent>
        </w:sdt>
        <w:p w:rsidR="00A9075C" w:rsidRDefault="00A9075C" w:rsidP="00275FEE">
          <w:pPr>
            <w:pStyle w:val="Piedepgina"/>
          </w:pPr>
        </w:p>
      </w:tc>
    </w:tr>
  </w:tbl>
  <w:p w:rsidR="00184756" w:rsidRPr="00A9075C" w:rsidRDefault="00184756" w:rsidP="00A907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A9075C" w:rsidTr="00D61ABC">
      <w:tc>
        <w:tcPr>
          <w:tcW w:w="2500" w:type="pct"/>
        </w:tcPr>
        <w:p w:rsidR="00A9075C" w:rsidRDefault="00E242BA">
          <w:pPr>
            <w:pStyle w:val="Piedepgina"/>
          </w:pPr>
          <w:r>
            <w:fldChar w:fldCharType="begin"/>
          </w:r>
          <w:r>
            <w:instrText xml:space="preserve"> DATE  \@ "dd/MM/yyyy hh:mm am/pm"  \* MERGEFORMAT </w:instrText>
          </w:r>
          <w:r>
            <w:fldChar w:fldCharType="separate"/>
          </w:r>
          <w:r w:rsidR="00F062CB">
            <w:rPr>
              <w:noProof/>
            </w:rPr>
            <w:t>20/09/2019 09:23 a. m.</w:t>
          </w:r>
          <w:r>
            <w:rPr>
              <w:noProof/>
            </w:rPr>
            <w:fldChar w:fldCharType="end"/>
          </w:r>
        </w:p>
      </w:tc>
      <w:tc>
        <w:tcPr>
          <w:tcW w:w="2500" w:type="pct"/>
        </w:tcPr>
        <w:sdt>
          <w:sdtPr>
            <w:id w:val="8289945"/>
            <w:docPartObj>
              <w:docPartGallery w:val="Page Numbers (Bottom of Page)"/>
              <w:docPartUnique/>
            </w:docPartObj>
          </w:sdtPr>
          <w:sdtEndPr/>
          <w:sdtContent>
            <w:p w:rsidR="00A9075C" w:rsidRDefault="00E242BA" w:rsidP="00A9075C">
              <w:pPr>
                <w:pStyle w:val="Piedepgina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062C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:rsidR="00A9075C" w:rsidRDefault="00A9075C">
          <w:pPr>
            <w:pStyle w:val="Piedepgina"/>
          </w:pPr>
        </w:p>
      </w:tc>
    </w:tr>
  </w:tbl>
  <w:p w:rsidR="00FB4FE4" w:rsidRDefault="00FB4F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89" w:rsidRDefault="003B0789" w:rsidP="006E4391">
      <w:pPr>
        <w:spacing w:after="0" w:line="240" w:lineRule="auto"/>
      </w:pPr>
      <w:r>
        <w:separator/>
      </w:r>
    </w:p>
  </w:footnote>
  <w:footnote w:type="continuationSeparator" w:id="0">
    <w:p w:rsidR="003B0789" w:rsidRDefault="003B0789" w:rsidP="006E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91"/>
    <w:rsid w:val="000062C9"/>
    <w:rsid w:val="00007BDB"/>
    <w:rsid w:val="00014A98"/>
    <w:rsid w:val="00067A43"/>
    <w:rsid w:val="00073C0F"/>
    <w:rsid w:val="00075A0F"/>
    <w:rsid w:val="000778AA"/>
    <w:rsid w:val="0008216F"/>
    <w:rsid w:val="00090162"/>
    <w:rsid w:val="00095300"/>
    <w:rsid w:val="00095832"/>
    <w:rsid w:val="00095C64"/>
    <w:rsid w:val="000C0CE1"/>
    <w:rsid w:val="000C24C7"/>
    <w:rsid w:val="000D76F9"/>
    <w:rsid w:val="000F3084"/>
    <w:rsid w:val="00102C4F"/>
    <w:rsid w:val="00105071"/>
    <w:rsid w:val="0012001E"/>
    <w:rsid w:val="00122650"/>
    <w:rsid w:val="00123439"/>
    <w:rsid w:val="00184756"/>
    <w:rsid w:val="00190106"/>
    <w:rsid w:val="00196F02"/>
    <w:rsid w:val="001A74A1"/>
    <w:rsid w:val="001B6672"/>
    <w:rsid w:val="001D2850"/>
    <w:rsid w:val="001E5B25"/>
    <w:rsid w:val="00206D4E"/>
    <w:rsid w:val="0021348C"/>
    <w:rsid w:val="00213A73"/>
    <w:rsid w:val="0025184D"/>
    <w:rsid w:val="002617C4"/>
    <w:rsid w:val="00264C0E"/>
    <w:rsid w:val="00270B4E"/>
    <w:rsid w:val="00284072"/>
    <w:rsid w:val="00295117"/>
    <w:rsid w:val="002A2708"/>
    <w:rsid w:val="002C3F97"/>
    <w:rsid w:val="002E1977"/>
    <w:rsid w:val="002F1CE2"/>
    <w:rsid w:val="002F69AB"/>
    <w:rsid w:val="003075E8"/>
    <w:rsid w:val="00315EE7"/>
    <w:rsid w:val="003210E1"/>
    <w:rsid w:val="00380CF9"/>
    <w:rsid w:val="00386A35"/>
    <w:rsid w:val="003A26CB"/>
    <w:rsid w:val="003B0789"/>
    <w:rsid w:val="003B60DC"/>
    <w:rsid w:val="003B655C"/>
    <w:rsid w:val="003C4033"/>
    <w:rsid w:val="003C7F2A"/>
    <w:rsid w:val="003D18E4"/>
    <w:rsid w:val="003E086C"/>
    <w:rsid w:val="00415B95"/>
    <w:rsid w:val="00432648"/>
    <w:rsid w:val="00446085"/>
    <w:rsid w:val="004548F2"/>
    <w:rsid w:val="00480F7D"/>
    <w:rsid w:val="004A1D37"/>
    <w:rsid w:val="004A441D"/>
    <w:rsid w:val="004B2B6F"/>
    <w:rsid w:val="004D171B"/>
    <w:rsid w:val="005255DB"/>
    <w:rsid w:val="005752B2"/>
    <w:rsid w:val="00593863"/>
    <w:rsid w:val="005A31EC"/>
    <w:rsid w:val="005A43B7"/>
    <w:rsid w:val="005B7422"/>
    <w:rsid w:val="005C1967"/>
    <w:rsid w:val="005C223D"/>
    <w:rsid w:val="005F4960"/>
    <w:rsid w:val="005F4C76"/>
    <w:rsid w:val="006176ED"/>
    <w:rsid w:val="006220AA"/>
    <w:rsid w:val="00633F4B"/>
    <w:rsid w:val="00634EA5"/>
    <w:rsid w:val="006620EF"/>
    <w:rsid w:val="00681A92"/>
    <w:rsid w:val="00691FFE"/>
    <w:rsid w:val="006B3D67"/>
    <w:rsid w:val="006C40EA"/>
    <w:rsid w:val="006C43CF"/>
    <w:rsid w:val="006C5DC8"/>
    <w:rsid w:val="006D7DF6"/>
    <w:rsid w:val="006E4391"/>
    <w:rsid w:val="00701A42"/>
    <w:rsid w:val="00703D18"/>
    <w:rsid w:val="00713CA9"/>
    <w:rsid w:val="00753F2B"/>
    <w:rsid w:val="00784137"/>
    <w:rsid w:val="00784164"/>
    <w:rsid w:val="007B6454"/>
    <w:rsid w:val="007D13F7"/>
    <w:rsid w:val="007D5729"/>
    <w:rsid w:val="007F3ED1"/>
    <w:rsid w:val="007F6EBC"/>
    <w:rsid w:val="008025D7"/>
    <w:rsid w:val="008361F9"/>
    <w:rsid w:val="00841A93"/>
    <w:rsid w:val="008448E4"/>
    <w:rsid w:val="008756BB"/>
    <w:rsid w:val="008771CB"/>
    <w:rsid w:val="008910D8"/>
    <w:rsid w:val="008B0A87"/>
    <w:rsid w:val="008B619A"/>
    <w:rsid w:val="008C2DD6"/>
    <w:rsid w:val="008E2A27"/>
    <w:rsid w:val="009112F1"/>
    <w:rsid w:val="009277F2"/>
    <w:rsid w:val="009425A2"/>
    <w:rsid w:val="00951EA7"/>
    <w:rsid w:val="0097112B"/>
    <w:rsid w:val="0097420E"/>
    <w:rsid w:val="00975D67"/>
    <w:rsid w:val="00975F8E"/>
    <w:rsid w:val="00982811"/>
    <w:rsid w:val="00985AF9"/>
    <w:rsid w:val="00995A89"/>
    <w:rsid w:val="009B34FE"/>
    <w:rsid w:val="009B4366"/>
    <w:rsid w:val="009C226A"/>
    <w:rsid w:val="00A03457"/>
    <w:rsid w:val="00A076DD"/>
    <w:rsid w:val="00A177D7"/>
    <w:rsid w:val="00A51D8A"/>
    <w:rsid w:val="00A56AED"/>
    <w:rsid w:val="00A57DC5"/>
    <w:rsid w:val="00A86219"/>
    <w:rsid w:val="00A9075C"/>
    <w:rsid w:val="00A95350"/>
    <w:rsid w:val="00A97920"/>
    <w:rsid w:val="00AB15A2"/>
    <w:rsid w:val="00AB3106"/>
    <w:rsid w:val="00AC7F1F"/>
    <w:rsid w:val="00AD060A"/>
    <w:rsid w:val="00AF26DA"/>
    <w:rsid w:val="00B07D9E"/>
    <w:rsid w:val="00B1094E"/>
    <w:rsid w:val="00B15ECE"/>
    <w:rsid w:val="00B32580"/>
    <w:rsid w:val="00B47AFF"/>
    <w:rsid w:val="00B543EE"/>
    <w:rsid w:val="00B83EF9"/>
    <w:rsid w:val="00B859EC"/>
    <w:rsid w:val="00B87B32"/>
    <w:rsid w:val="00B92804"/>
    <w:rsid w:val="00B9369B"/>
    <w:rsid w:val="00B9795B"/>
    <w:rsid w:val="00BD003F"/>
    <w:rsid w:val="00C01479"/>
    <w:rsid w:val="00C03311"/>
    <w:rsid w:val="00C06B9B"/>
    <w:rsid w:val="00C1718D"/>
    <w:rsid w:val="00C25890"/>
    <w:rsid w:val="00C41730"/>
    <w:rsid w:val="00C531D0"/>
    <w:rsid w:val="00C56943"/>
    <w:rsid w:val="00C70D54"/>
    <w:rsid w:val="00C71A24"/>
    <w:rsid w:val="00C942C0"/>
    <w:rsid w:val="00CC41D2"/>
    <w:rsid w:val="00CE2C76"/>
    <w:rsid w:val="00D01515"/>
    <w:rsid w:val="00D1179B"/>
    <w:rsid w:val="00D165DE"/>
    <w:rsid w:val="00D61ABC"/>
    <w:rsid w:val="00D73ECC"/>
    <w:rsid w:val="00D7668D"/>
    <w:rsid w:val="00D86079"/>
    <w:rsid w:val="00DA77EC"/>
    <w:rsid w:val="00DB75D2"/>
    <w:rsid w:val="00DC2AD6"/>
    <w:rsid w:val="00DC652A"/>
    <w:rsid w:val="00E015C8"/>
    <w:rsid w:val="00E03B0E"/>
    <w:rsid w:val="00E21C0F"/>
    <w:rsid w:val="00E242BA"/>
    <w:rsid w:val="00E372CD"/>
    <w:rsid w:val="00E51460"/>
    <w:rsid w:val="00E76F11"/>
    <w:rsid w:val="00E95D34"/>
    <w:rsid w:val="00EA517E"/>
    <w:rsid w:val="00EC189C"/>
    <w:rsid w:val="00EC5A03"/>
    <w:rsid w:val="00EF3985"/>
    <w:rsid w:val="00EF524F"/>
    <w:rsid w:val="00F01BDA"/>
    <w:rsid w:val="00F062CB"/>
    <w:rsid w:val="00F16ED3"/>
    <w:rsid w:val="00F3095E"/>
    <w:rsid w:val="00F34D2A"/>
    <w:rsid w:val="00F4532A"/>
    <w:rsid w:val="00F8666C"/>
    <w:rsid w:val="00F92603"/>
    <w:rsid w:val="00FA2A92"/>
    <w:rsid w:val="00FA7656"/>
    <w:rsid w:val="00FB49EA"/>
    <w:rsid w:val="00FB4ADF"/>
    <w:rsid w:val="00FB4FE4"/>
    <w:rsid w:val="00FB5DF4"/>
    <w:rsid w:val="00FB7F1F"/>
    <w:rsid w:val="00FC1DED"/>
    <w:rsid w:val="00FC30C8"/>
    <w:rsid w:val="00FC417C"/>
    <w:rsid w:val="00FE5F4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5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5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391"/>
  </w:style>
  <w:style w:type="paragraph" w:styleId="Piedepgina">
    <w:name w:val="footer"/>
    <w:basedOn w:val="Normal"/>
    <w:link w:val="Piedepgina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391"/>
  </w:style>
  <w:style w:type="paragraph" w:styleId="Textodeglobo">
    <w:name w:val="Balloon Text"/>
    <w:basedOn w:val="Normal"/>
    <w:link w:val="TextodegloboCar"/>
    <w:uiPriority w:val="99"/>
    <w:semiHidden/>
    <w:unhideWhenUsed/>
    <w:rsid w:val="006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3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54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4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3B655C"/>
    <w:rPr>
      <w:b/>
      <w:bCs/>
      <w:smallCaps/>
      <w:spacing w:val="5"/>
    </w:rPr>
  </w:style>
  <w:style w:type="paragraph" w:customStyle="1" w:styleId="Estilo">
    <w:name w:val="Estilo"/>
    <w:basedOn w:val="Sinespaciado"/>
    <w:link w:val="EstiloCar"/>
    <w:qFormat/>
    <w:rsid w:val="003C4033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A441D"/>
    <w:rPr>
      <w:rFonts w:ascii="Arial" w:hAnsi="Arial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2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C2589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2589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6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672"/>
    <w:rPr>
      <w:b/>
      <w:bCs/>
      <w:i/>
      <w:iCs/>
      <w:color w:val="4F81BD" w:themeColor="accent1"/>
      <w:lang w:val="es-MX"/>
    </w:rPr>
  </w:style>
  <w:style w:type="character" w:styleId="Referenciasutil">
    <w:name w:val="Subtle Reference"/>
    <w:basedOn w:val="Fuentedeprrafopredeter"/>
    <w:uiPriority w:val="31"/>
    <w:qFormat/>
    <w:rsid w:val="003C7F2A"/>
    <w:rPr>
      <w:smallCaps/>
      <w:color w:val="C0504D" w:themeColor="accent2"/>
      <w:u w:val="single"/>
    </w:rPr>
  </w:style>
  <w:style w:type="paragraph" w:customStyle="1" w:styleId="Estilo2">
    <w:name w:val="Estilo2"/>
    <w:basedOn w:val="Estilo"/>
    <w:link w:val="Estilo2Car"/>
    <w:rsid w:val="00DC2AD6"/>
    <w:pPr>
      <w:spacing w:line="360" w:lineRule="auto"/>
    </w:pPr>
  </w:style>
  <w:style w:type="character" w:customStyle="1" w:styleId="Estilo2Car">
    <w:name w:val="Estilo2 Car"/>
    <w:basedOn w:val="EstiloCar"/>
    <w:link w:val="Estilo2"/>
    <w:rsid w:val="00DC2AD6"/>
    <w:rPr>
      <w:rFonts w:ascii="Arial" w:hAnsi="Arial"/>
      <w:sz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5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5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391"/>
  </w:style>
  <w:style w:type="paragraph" w:styleId="Piedepgina">
    <w:name w:val="footer"/>
    <w:basedOn w:val="Normal"/>
    <w:link w:val="Piedepgina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391"/>
  </w:style>
  <w:style w:type="paragraph" w:styleId="Textodeglobo">
    <w:name w:val="Balloon Text"/>
    <w:basedOn w:val="Normal"/>
    <w:link w:val="TextodegloboCar"/>
    <w:uiPriority w:val="99"/>
    <w:semiHidden/>
    <w:unhideWhenUsed/>
    <w:rsid w:val="006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3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54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4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3B655C"/>
    <w:rPr>
      <w:b/>
      <w:bCs/>
      <w:smallCaps/>
      <w:spacing w:val="5"/>
    </w:rPr>
  </w:style>
  <w:style w:type="paragraph" w:customStyle="1" w:styleId="Estilo">
    <w:name w:val="Estilo"/>
    <w:basedOn w:val="Sinespaciado"/>
    <w:link w:val="EstiloCar"/>
    <w:qFormat/>
    <w:rsid w:val="003C4033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A441D"/>
    <w:rPr>
      <w:rFonts w:ascii="Arial" w:hAnsi="Arial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2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C2589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2589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6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672"/>
    <w:rPr>
      <w:b/>
      <w:bCs/>
      <w:i/>
      <w:iCs/>
      <w:color w:val="4F81BD" w:themeColor="accent1"/>
      <w:lang w:val="es-MX"/>
    </w:rPr>
  </w:style>
  <w:style w:type="character" w:styleId="Referenciasutil">
    <w:name w:val="Subtle Reference"/>
    <w:basedOn w:val="Fuentedeprrafopredeter"/>
    <w:uiPriority w:val="31"/>
    <w:qFormat/>
    <w:rsid w:val="003C7F2A"/>
    <w:rPr>
      <w:smallCaps/>
      <w:color w:val="C0504D" w:themeColor="accent2"/>
      <w:u w:val="single"/>
    </w:rPr>
  </w:style>
  <w:style w:type="paragraph" w:customStyle="1" w:styleId="Estilo2">
    <w:name w:val="Estilo2"/>
    <w:basedOn w:val="Estilo"/>
    <w:link w:val="Estilo2Car"/>
    <w:rsid w:val="00DC2AD6"/>
    <w:pPr>
      <w:spacing w:line="360" w:lineRule="auto"/>
    </w:pPr>
  </w:style>
  <w:style w:type="character" w:customStyle="1" w:styleId="Estilo2Car">
    <w:name w:val="Estilo2 Car"/>
    <w:basedOn w:val="EstiloCar"/>
    <w:link w:val="Estilo2"/>
    <w:rsid w:val="00DC2AD6"/>
    <w:rPr>
      <w:rFonts w:ascii="Arial" w:hAnsi="Arial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AC0EE0B65D945AA05B529335B4BE3" ma:contentTypeVersion="0" ma:contentTypeDescription="Create a new document." ma:contentTypeScope="" ma:versionID="3442fd3ccf026efe6108379e6c851b5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4173-D5BE-481D-9262-7065238891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D7F9FB-F44F-4D17-B120-335FC14F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43679-0CEC-47FE-A3F5-D996725F0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2CA8BD-16F3-48C2-9FAF-8B2C8056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2289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RBarajasV</dc:creator>
  <cp:lastModifiedBy>Laura Cruz</cp:lastModifiedBy>
  <cp:revision>4</cp:revision>
  <dcterms:created xsi:type="dcterms:W3CDTF">2019-09-19T23:44:00Z</dcterms:created>
  <dcterms:modified xsi:type="dcterms:W3CDTF">2019-09-20T14:23:00Z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0x010100719AC0EE0B65D945AA05B529335B4BE3</vt:lpwstr>
  </property>
</Properties>
</file>